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8" w:type="dxa"/>
        <w:tblInd w:w="-459" w:type="dxa"/>
        <w:tblLook w:val="04A0" w:firstRow="1" w:lastRow="0" w:firstColumn="1" w:lastColumn="0" w:noHBand="0" w:noVBand="1"/>
      </w:tblPr>
      <w:tblGrid>
        <w:gridCol w:w="4502"/>
        <w:gridCol w:w="5676"/>
      </w:tblGrid>
      <w:tr w:rsidR="006D7A2C" w:rsidTr="00593B74">
        <w:trPr>
          <w:trHeight w:val="1599"/>
        </w:trPr>
        <w:tc>
          <w:tcPr>
            <w:tcW w:w="4502" w:type="dxa"/>
          </w:tcPr>
          <w:p w:rsidR="006D7A2C" w:rsidRPr="00DB4EBD" w:rsidRDefault="006D7A2C" w:rsidP="00593B74">
            <w:pPr>
              <w:tabs>
                <w:tab w:val="left" w:pos="10620"/>
              </w:tabs>
              <w:jc w:val="center"/>
              <w:rPr>
                <w:b/>
                <w:sz w:val="26"/>
                <w:lang w:val="nl-NL"/>
              </w:rPr>
            </w:pPr>
            <w:r w:rsidRPr="00DB4EBD">
              <w:rPr>
                <w:sz w:val="26"/>
                <w:lang w:val="nl-NL"/>
              </w:rPr>
              <w:t xml:space="preserve">UBND </w:t>
            </w:r>
            <w:r>
              <w:rPr>
                <w:sz w:val="26"/>
                <w:lang w:val="nl-NL"/>
              </w:rPr>
              <w:t>THÀNH PHỐ</w:t>
            </w:r>
            <w:r w:rsidRPr="00DB4EBD">
              <w:rPr>
                <w:sz w:val="26"/>
                <w:lang w:val="nl-NL"/>
              </w:rPr>
              <w:t xml:space="preserve"> SÔNG CÔNG</w:t>
            </w:r>
          </w:p>
          <w:p w:rsidR="006D7A2C" w:rsidRPr="00DB4EBD" w:rsidRDefault="006D7A2C" w:rsidP="00593B74">
            <w:pPr>
              <w:tabs>
                <w:tab w:val="left" w:pos="10620"/>
              </w:tabs>
              <w:jc w:val="center"/>
              <w:rPr>
                <w:sz w:val="26"/>
                <w:lang w:val="nl-NL"/>
              </w:rPr>
            </w:pPr>
            <w:r w:rsidRPr="00DB4EBD">
              <w:rPr>
                <w:b/>
                <w:sz w:val="26"/>
                <w:lang w:val="nl-NL"/>
              </w:rPr>
              <w:t>PHÒNG GIÁO DỤC VÀ ĐÀO TẠO</w:t>
            </w:r>
          </w:p>
          <w:p w:rsidR="006D7A2C" w:rsidRPr="00DB4EBD" w:rsidRDefault="006D7A2C" w:rsidP="00593B74">
            <w:pPr>
              <w:tabs>
                <w:tab w:val="left" w:pos="10620"/>
              </w:tabs>
              <w:jc w:val="center"/>
              <w:rPr>
                <w:sz w:val="26"/>
                <w:lang w:val="nl-NL"/>
              </w:rPr>
            </w:pPr>
            <w:r>
              <w:rPr>
                <w:rFonts w:ascii=".VnTime" w:hAnsi=".VnTime"/>
                <w:noProof/>
              </w:rPr>
              <mc:AlternateContent>
                <mc:Choice Requires="wps">
                  <w:drawing>
                    <wp:anchor distT="0" distB="0" distL="114300" distR="114300" simplePos="0" relativeHeight="251659264" behindDoc="0" locked="0" layoutInCell="1" allowOverlap="1" wp14:anchorId="19B2960C" wp14:editId="73330FD1">
                      <wp:simplePos x="0" y="0"/>
                      <wp:positionH relativeFrom="column">
                        <wp:posOffset>623570</wp:posOffset>
                      </wp:positionH>
                      <wp:positionV relativeFrom="paragraph">
                        <wp:posOffset>12700</wp:posOffset>
                      </wp:positionV>
                      <wp:extent cx="1257300" cy="0"/>
                      <wp:effectExtent l="12065" t="13335" r="6985" b="571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BA0B2"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1pt,1pt" to="14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b2k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"/>
                  </w:pict>
                </mc:Fallback>
              </mc:AlternateContent>
            </w:r>
          </w:p>
          <w:p w:rsidR="006D7A2C" w:rsidRPr="00352E8A" w:rsidRDefault="006D7A2C" w:rsidP="00593B74">
            <w:pPr>
              <w:tabs>
                <w:tab w:val="left" w:pos="10620"/>
              </w:tabs>
              <w:jc w:val="center"/>
              <w:rPr>
                <w:sz w:val="26"/>
                <w:lang w:val="nl-NL"/>
              </w:rPr>
            </w:pPr>
            <w:r w:rsidRPr="00352E8A">
              <w:rPr>
                <w:sz w:val="26"/>
                <w:lang w:val="nl-NL"/>
              </w:rPr>
              <w:t>Số</w:t>
            </w:r>
            <w:r>
              <w:rPr>
                <w:sz w:val="26"/>
                <w:lang w:val="nl-NL"/>
              </w:rPr>
              <w:t>:</w:t>
            </w:r>
            <w:r w:rsidR="00CB6BEF">
              <w:rPr>
                <w:sz w:val="26"/>
                <w:lang w:val="nl-NL"/>
              </w:rPr>
              <w:t xml:space="preserve"> 885</w:t>
            </w:r>
            <w:r w:rsidRPr="00352E8A">
              <w:rPr>
                <w:sz w:val="26"/>
                <w:lang w:val="nl-NL"/>
              </w:rPr>
              <w:t>/PGD&amp;ĐT-CNTT</w:t>
            </w:r>
          </w:p>
          <w:p w:rsidR="006D7A2C" w:rsidRPr="007337ED" w:rsidRDefault="006D7A2C" w:rsidP="00593B74">
            <w:pPr>
              <w:tabs>
                <w:tab w:val="left" w:pos="10620"/>
              </w:tabs>
              <w:jc w:val="center"/>
              <w:rPr>
                <w:sz w:val="24"/>
                <w:szCs w:val="24"/>
                <w:lang w:val="nl-NL"/>
              </w:rPr>
            </w:pPr>
            <w:r w:rsidRPr="00352E8A">
              <w:rPr>
                <w:sz w:val="26"/>
                <w:lang w:val="nl-NL"/>
              </w:rPr>
              <w:t>V/v</w:t>
            </w:r>
            <w:r w:rsidRPr="00352E8A">
              <w:rPr>
                <w:sz w:val="24"/>
                <w:szCs w:val="24"/>
                <w:lang w:val="nl-NL"/>
              </w:rPr>
              <w:t xml:space="preserve"> triển khai giao dịch BHXH điện tử</w:t>
            </w:r>
          </w:p>
        </w:tc>
        <w:tc>
          <w:tcPr>
            <w:tcW w:w="5676" w:type="dxa"/>
          </w:tcPr>
          <w:p w:rsidR="006D7A2C" w:rsidRPr="004C086D" w:rsidRDefault="006D7A2C" w:rsidP="00593B74">
            <w:pPr>
              <w:tabs>
                <w:tab w:val="left" w:pos="10620"/>
              </w:tabs>
              <w:jc w:val="center"/>
              <w:rPr>
                <w:b/>
                <w:lang w:val="vi-VN"/>
              </w:rPr>
            </w:pPr>
            <w:r w:rsidRPr="004C086D">
              <w:rPr>
                <w:b/>
                <w:sz w:val="26"/>
                <w:lang w:val="vi-VN"/>
              </w:rPr>
              <w:t>CỘNG HOÀ XÃ HỘI CHỦ NGHĨA VIỆT NAM</w:t>
            </w:r>
          </w:p>
          <w:p w:rsidR="006D7A2C" w:rsidRDefault="006D7A2C" w:rsidP="00593B74">
            <w:pPr>
              <w:tabs>
                <w:tab w:val="left" w:pos="10620"/>
              </w:tabs>
              <w:jc w:val="center"/>
              <w:rPr>
                <w:i/>
              </w:rPr>
            </w:pPr>
            <w:r>
              <w:rPr>
                <w:b/>
              </w:rPr>
              <w:t>Độc Lập -  Tự do -  Hạnh phúc</w:t>
            </w:r>
          </w:p>
          <w:p w:rsidR="006D7A2C" w:rsidRDefault="006D7A2C" w:rsidP="00593B74">
            <w:pPr>
              <w:tabs>
                <w:tab w:val="left" w:pos="10620"/>
              </w:tabs>
              <w:jc w:val="center"/>
              <w:rPr>
                <w:i/>
              </w:rPr>
            </w:pPr>
            <w:r>
              <w:rPr>
                <w:rFonts w:ascii=".VnTime" w:hAnsi=".VnTime"/>
                <w:noProof/>
              </w:rPr>
              <mc:AlternateContent>
                <mc:Choice Requires="wps">
                  <w:drawing>
                    <wp:anchor distT="0" distB="0" distL="114300" distR="114300" simplePos="0" relativeHeight="251660288" behindDoc="0" locked="0" layoutInCell="1" allowOverlap="1" wp14:anchorId="08F2AD61" wp14:editId="60F21DCE">
                      <wp:simplePos x="0" y="0"/>
                      <wp:positionH relativeFrom="column">
                        <wp:posOffset>604520</wp:posOffset>
                      </wp:positionH>
                      <wp:positionV relativeFrom="paragraph">
                        <wp:posOffset>12700</wp:posOffset>
                      </wp:positionV>
                      <wp:extent cx="2286000" cy="0"/>
                      <wp:effectExtent l="6350" t="8890" r="12700" b="1016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EDC96" id="Straight Connector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pt,1pt" to="227.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eXHQ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"/>
                  </w:pict>
                </mc:Fallback>
              </mc:AlternateContent>
            </w:r>
          </w:p>
          <w:p w:rsidR="006D7A2C" w:rsidRPr="007337ED" w:rsidRDefault="006D7A2C" w:rsidP="00593B74">
            <w:pPr>
              <w:tabs>
                <w:tab w:val="left" w:pos="10620"/>
              </w:tabs>
              <w:jc w:val="center"/>
              <w:rPr>
                <w:i/>
                <w:sz w:val="26"/>
              </w:rPr>
            </w:pPr>
            <w:r w:rsidRPr="00352E8A">
              <w:rPr>
                <w:i/>
                <w:sz w:val="26"/>
              </w:rPr>
              <w:t>Sông  Công, ngày 25 tháng 12 năm 2015</w:t>
            </w:r>
          </w:p>
        </w:tc>
      </w:tr>
    </w:tbl>
    <w:p w:rsidR="006D7A2C" w:rsidRPr="00776EF6" w:rsidRDefault="006D7A2C" w:rsidP="006D7A2C">
      <w:pPr>
        <w:jc w:val="center"/>
        <w:rPr>
          <w:sz w:val="10"/>
          <w:lang w:val="nl-NL"/>
        </w:rPr>
      </w:pPr>
    </w:p>
    <w:p w:rsidR="006D7A2C" w:rsidRPr="00B427DF" w:rsidRDefault="006D7A2C" w:rsidP="006D7A2C">
      <w:pPr>
        <w:spacing w:after="120"/>
        <w:ind w:left="720" w:firstLine="720"/>
        <w:rPr>
          <w:sz w:val="26"/>
          <w:lang w:val="nl-NL"/>
        </w:rPr>
      </w:pPr>
      <w:r w:rsidRPr="00B427DF">
        <w:rPr>
          <w:sz w:val="26"/>
          <w:lang w:val="nl-NL"/>
        </w:rPr>
        <w:t xml:space="preserve">Kính gửi: </w:t>
      </w:r>
    </w:p>
    <w:p w:rsidR="006D7A2C" w:rsidRPr="00B427DF" w:rsidRDefault="006D7A2C" w:rsidP="006D7A2C">
      <w:pPr>
        <w:ind w:left="2160" w:firstLine="720"/>
        <w:rPr>
          <w:sz w:val="26"/>
          <w:lang w:val="nl-NL"/>
        </w:rPr>
      </w:pPr>
      <w:r>
        <w:rPr>
          <w:sz w:val="26"/>
          <w:lang w:val="nl-NL"/>
        </w:rPr>
        <w:t xml:space="preserve">  </w:t>
      </w:r>
      <w:r w:rsidRPr="00B427DF">
        <w:rPr>
          <w:sz w:val="26"/>
          <w:lang w:val="nl-NL"/>
        </w:rPr>
        <w:t>- Trung tâm Viettel thành phố Sông Công</w:t>
      </w:r>
    </w:p>
    <w:p w:rsidR="006D7A2C" w:rsidRPr="00B427DF" w:rsidRDefault="006D7A2C" w:rsidP="006D7A2C">
      <w:pPr>
        <w:ind w:left="720" w:firstLine="720"/>
        <w:rPr>
          <w:sz w:val="26"/>
          <w:lang w:val="nl-NL"/>
        </w:rPr>
      </w:pPr>
      <w:r w:rsidRPr="00B427DF">
        <w:rPr>
          <w:sz w:val="26"/>
          <w:lang w:val="nl-NL"/>
        </w:rPr>
        <w:tab/>
      </w:r>
      <w:r w:rsidRPr="00B427DF">
        <w:rPr>
          <w:sz w:val="26"/>
          <w:lang w:val="nl-NL"/>
        </w:rPr>
        <w:tab/>
        <w:t xml:space="preserve">  - Trung tâm Viễn thông thành phố Sông Công</w:t>
      </w:r>
    </w:p>
    <w:p w:rsidR="006D7A2C" w:rsidRPr="00B427DF" w:rsidRDefault="006D7A2C" w:rsidP="006D7A2C">
      <w:pPr>
        <w:ind w:left="720" w:firstLine="720"/>
        <w:rPr>
          <w:sz w:val="26"/>
          <w:lang w:val="nl-NL"/>
        </w:rPr>
      </w:pPr>
      <w:r w:rsidRPr="00B427DF">
        <w:rPr>
          <w:sz w:val="26"/>
          <w:lang w:val="nl-NL"/>
        </w:rPr>
        <w:tab/>
      </w:r>
      <w:r w:rsidRPr="00B427DF">
        <w:rPr>
          <w:sz w:val="26"/>
          <w:lang w:val="nl-NL"/>
        </w:rPr>
        <w:tab/>
        <w:t xml:space="preserve">  - Các trường MN, TH, THCS trên địa bàn</w:t>
      </w:r>
    </w:p>
    <w:p w:rsidR="006D7A2C" w:rsidRDefault="006D7A2C" w:rsidP="006D7A2C">
      <w:pPr>
        <w:spacing w:before="60"/>
        <w:ind w:firstLine="720"/>
        <w:jc w:val="both"/>
        <w:rPr>
          <w:lang w:val="nl-NL"/>
        </w:rPr>
      </w:pPr>
    </w:p>
    <w:p w:rsidR="006D7A2C" w:rsidRPr="00B427DF" w:rsidRDefault="006D7A2C" w:rsidP="006D7A2C">
      <w:pPr>
        <w:spacing w:before="60"/>
        <w:ind w:firstLine="720"/>
        <w:jc w:val="both"/>
        <w:rPr>
          <w:color w:val="000000"/>
          <w:sz w:val="26"/>
        </w:rPr>
      </w:pPr>
      <w:r w:rsidRPr="00B427DF">
        <w:rPr>
          <w:color w:val="000000"/>
          <w:sz w:val="26"/>
        </w:rPr>
        <w:t>Căn cứ công văn số 1778/BHXH-CNTT ngày 11/12/2015 của Bảo Hiểm xã hội tỉnh Thái Nguyên về việc thực hiện giao dịch BHXH điện tử;</w:t>
      </w:r>
    </w:p>
    <w:p w:rsidR="006D7A2C" w:rsidRPr="00B427DF" w:rsidRDefault="006D7A2C" w:rsidP="006D7A2C">
      <w:pPr>
        <w:spacing w:before="60"/>
        <w:ind w:firstLine="720"/>
        <w:jc w:val="both"/>
        <w:rPr>
          <w:color w:val="000000"/>
          <w:sz w:val="26"/>
        </w:rPr>
      </w:pPr>
      <w:r w:rsidRPr="00B427DF">
        <w:rPr>
          <w:color w:val="000000"/>
          <w:sz w:val="26"/>
        </w:rPr>
        <w:t>Căn cứ vào công văn số 59/CV-VTSC ngày 17/12/2015 của Trung tâm Viễn thông thành phố Sông Công về việc triển khai dịch vụ BHXH điện tử;</w:t>
      </w:r>
    </w:p>
    <w:p w:rsidR="006D7A2C" w:rsidRPr="00B427DF" w:rsidRDefault="006D7A2C" w:rsidP="006D7A2C">
      <w:pPr>
        <w:spacing w:before="60"/>
        <w:ind w:firstLine="720"/>
        <w:jc w:val="both"/>
        <w:rPr>
          <w:color w:val="000000"/>
          <w:sz w:val="26"/>
        </w:rPr>
      </w:pPr>
      <w:r w:rsidRPr="00B427DF">
        <w:rPr>
          <w:color w:val="000000"/>
          <w:sz w:val="26"/>
        </w:rPr>
        <w:t>Để thuận tiện trong triển khai dịch vụ BHXH điện tử, chữ ký số CA. Phòng Giáo dục và Đào tạo thành phố Sông Công, trung tâm Viễn thông thành phố Sông Công, trung tâm Viettel thống nhất và thực hiện một số nội dung sau:</w:t>
      </w:r>
    </w:p>
    <w:p w:rsidR="006D7A2C" w:rsidRPr="00B427DF" w:rsidRDefault="006D7A2C" w:rsidP="006D7A2C">
      <w:pPr>
        <w:spacing w:before="60"/>
        <w:jc w:val="both"/>
        <w:rPr>
          <w:i/>
          <w:sz w:val="26"/>
        </w:rPr>
      </w:pPr>
      <w:r w:rsidRPr="00B427DF">
        <w:rPr>
          <w:color w:val="000000"/>
          <w:sz w:val="26"/>
        </w:rPr>
        <w:tab/>
        <w:t>- Đồng ý cho Trung tâm Viễn thông Sông Công, Trung tâm Viettel Sông Công tổ chức triển khai, hướng dẫn, tập huấn các đơn vị sử dụng dịch vụ giao dịch BHXH điện tử, chữ ký số CA trong giao dịch BHXH điện tử.</w:t>
      </w:r>
    </w:p>
    <w:p w:rsidR="006D7A2C" w:rsidRPr="00B427DF" w:rsidRDefault="006D7A2C" w:rsidP="006D7A2C">
      <w:pPr>
        <w:spacing w:before="60"/>
        <w:ind w:firstLine="720"/>
        <w:jc w:val="both"/>
        <w:rPr>
          <w:color w:val="000000"/>
          <w:sz w:val="26"/>
        </w:rPr>
      </w:pPr>
      <w:r w:rsidRPr="00B427DF">
        <w:rPr>
          <w:color w:val="000000"/>
          <w:sz w:val="26"/>
        </w:rPr>
        <w:t xml:space="preserve">- Trung tâm Viettel Sông Công, Trung tâm Viễn thông Sông Công </w:t>
      </w:r>
      <w:r w:rsidR="006C5266">
        <w:rPr>
          <w:color w:val="000000"/>
          <w:sz w:val="26"/>
        </w:rPr>
        <w:t xml:space="preserve">có trách nhiệm </w:t>
      </w:r>
      <w:r w:rsidRPr="00B427DF">
        <w:rPr>
          <w:color w:val="000000"/>
          <w:sz w:val="26"/>
        </w:rPr>
        <w:t>triển khai, thực hiện theo công văn số 1778/BHXH-CNTT ngày 11/12/2015 của Bảo Hiểm xã hội tỉnh Thái Nguyên; Công văn số 59/CV-VTSC ngày 17/12/2015 của Trung tâm Viễn thông thành phố Sông Công; Các chính sách ưu đãi của Viettel đối với ngành Giáo dục và Đào tạo thành phố Sông Công theo thỏa thuận hợp tác giai đoạn 2014</w:t>
      </w:r>
      <w:r w:rsidRPr="00B427DF">
        <w:rPr>
          <w:b/>
          <w:color w:val="000000"/>
          <w:sz w:val="26"/>
        </w:rPr>
        <w:t>-</w:t>
      </w:r>
      <w:r w:rsidRPr="00B427DF">
        <w:rPr>
          <w:color w:val="000000"/>
          <w:sz w:val="26"/>
        </w:rPr>
        <w:t xml:space="preserve">2020 giữa Sở Giáo dục &amp; Đào tạo Thái Nguyên và Chi nhánh Viettel Thái Nguyên – Tập đoàn Viễn thông </w:t>
      </w:r>
      <w:r w:rsidR="006C5266">
        <w:rPr>
          <w:color w:val="000000"/>
          <w:sz w:val="26"/>
        </w:rPr>
        <w:t>Q</w:t>
      </w:r>
      <w:r w:rsidRPr="00B427DF">
        <w:rPr>
          <w:color w:val="000000"/>
          <w:sz w:val="26"/>
        </w:rPr>
        <w:t>uân đội.</w:t>
      </w:r>
    </w:p>
    <w:p w:rsidR="006D7A2C" w:rsidRPr="00B427DF" w:rsidRDefault="006D7A2C" w:rsidP="006D7A2C">
      <w:pPr>
        <w:spacing w:before="60"/>
        <w:ind w:firstLine="720"/>
        <w:jc w:val="both"/>
        <w:rPr>
          <w:color w:val="000000"/>
          <w:sz w:val="26"/>
        </w:rPr>
      </w:pPr>
      <w:r w:rsidRPr="00B427DF">
        <w:rPr>
          <w:color w:val="000000"/>
          <w:sz w:val="26"/>
        </w:rPr>
        <w:t xml:space="preserve">- Đề nghị các trường MN, Tiểu học, THCS tạo điều kiện để Trung tâm Viễn thông Sông Công, Trung tâm Viettel Sông Công triển khai thực hiện dịch vụ </w:t>
      </w:r>
      <w:r w:rsidR="00E532EF">
        <w:rPr>
          <w:color w:val="000000"/>
          <w:sz w:val="26"/>
        </w:rPr>
        <w:t xml:space="preserve">chữ ký số CA, </w:t>
      </w:r>
      <w:r w:rsidRPr="00B427DF">
        <w:rPr>
          <w:color w:val="000000"/>
          <w:sz w:val="26"/>
        </w:rPr>
        <w:t>giao dịch BHXH điện tử</w:t>
      </w:r>
      <w:r w:rsidR="00E532EF">
        <w:rPr>
          <w:color w:val="000000"/>
          <w:sz w:val="26"/>
        </w:rPr>
        <w:t>.</w:t>
      </w:r>
    </w:p>
    <w:p w:rsidR="006D7A2C" w:rsidRPr="00B427DF" w:rsidRDefault="006D7A2C" w:rsidP="006D7A2C">
      <w:pPr>
        <w:spacing w:before="60"/>
        <w:ind w:firstLine="720"/>
        <w:jc w:val="both"/>
        <w:rPr>
          <w:color w:val="000000"/>
          <w:sz w:val="26"/>
        </w:rPr>
      </w:pPr>
      <w:r w:rsidRPr="00B427DF">
        <w:rPr>
          <w:b/>
          <w:i/>
          <w:color w:val="000000"/>
          <w:sz w:val="26"/>
        </w:rPr>
        <w:t>Lưu ý:</w:t>
      </w:r>
      <w:r w:rsidRPr="00B427DF">
        <w:rPr>
          <w:color w:val="000000"/>
          <w:sz w:val="26"/>
        </w:rPr>
        <w:t xml:space="preserve"> </w:t>
      </w:r>
      <w:r w:rsidRPr="00B427DF">
        <w:rPr>
          <w:i/>
          <w:color w:val="000000"/>
          <w:sz w:val="26"/>
        </w:rPr>
        <w:t>Đề nghị Trung tâm Viettel Sông Công, Trung tâm Viễn thông Sông Công phô tô các công văn 1778/BHXH-CNTT; Công văn số 59/CV-VTSC</w:t>
      </w:r>
      <w:r>
        <w:rPr>
          <w:i/>
          <w:color w:val="000000"/>
          <w:sz w:val="26"/>
        </w:rPr>
        <w:t>, giấy giới thiệu của BHXH thành phố Sông Công</w:t>
      </w:r>
      <w:r w:rsidRPr="00B427DF">
        <w:rPr>
          <w:i/>
          <w:color w:val="000000"/>
          <w:sz w:val="26"/>
        </w:rPr>
        <w:t xml:space="preserve"> gửi kèm các đơn vị MN, TH, THCS trong quá trình liên hệ, giao dịch.</w:t>
      </w:r>
    </w:p>
    <w:p w:rsidR="006D7A2C" w:rsidRPr="00B427DF" w:rsidRDefault="006D7A2C" w:rsidP="006D7A2C">
      <w:pPr>
        <w:tabs>
          <w:tab w:val="left" w:pos="567"/>
        </w:tabs>
        <w:spacing w:after="120" w:line="288" w:lineRule="auto"/>
        <w:jc w:val="both"/>
        <w:rPr>
          <w:sz w:val="26"/>
          <w:lang w:val="nl-NL"/>
        </w:rPr>
      </w:pPr>
      <w:r w:rsidRPr="00B427DF">
        <w:rPr>
          <w:spacing w:val="-10"/>
          <w:sz w:val="26"/>
        </w:rPr>
        <w:tab/>
        <w:t>Trong quá trình triển khai, tổ chức thực hiện có khó khăn vướng mắc các đơn vị liên hệ với Đ/c Tiệp – CB phòng GD&amp;ĐT (SĐT: 0912.234.700 hoặc 0969.037.718) để tổng hợp, báo cáo Trưởng phòng xin ý kiến chỉ đạo, giải quyết./.</w:t>
      </w:r>
    </w:p>
    <w:tbl>
      <w:tblPr>
        <w:tblW w:w="9639" w:type="dxa"/>
        <w:tblLook w:val="04A0" w:firstRow="1" w:lastRow="0" w:firstColumn="1" w:lastColumn="0" w:noHBand="0" w:noVBand="1"/>
      </w:tblPr>
      <w:tblGrid>
        <w:gridCol w:w="5495"/>
        <w:gridCol w:w="4144"/>
      </w:tblGrid>
      <w:tr w:rsidR="006D7A2C" w:rsidRPr="0062737A" w:rsidTr="006D7A2C">
        <w:tc>
          <w:tcPr>
            <w:tcW w:w="5495" w:type="dxa"/>
          </w:tcPr>
          <w:p w:rsidR="006D7A2C" w:rsidRPr="004C4F5C" w:rsidRDefault="006D7A2C" w:rsidP="00593B74">
            <w:pPr>
              <w:jc w:val="both"/>
              <w:rPr>
                <w:rFonts w:eastAsia="Calibri"/>
                <w:b/>
                <w:i/>
                <w:sz w:val="12"/>
                <w:lang w:val="nl-NL"/>
              </w:rPr>
            </w:pPr>
          </w:p>
          <w:p w:rsidR="006D7A2C" w:rsidRPr="0062737A" w:rsidRDefault="006D7A2C" w:rsidP="00593B74">
            <w:pPr>
              <w:jc w:val="both"/>
              <w:rPr>
                <w:rFonts w:eastAsia="Calibri"/>
                <w:b/>
                <w:sz w:val="24"/>
                <w:lang w:val="nl-NL"/>
              </w:rPr>
            </w:pPr>
            <w:r w:rsidRPr="0062737A">
              <w:rPr>
                <w:rFonts w:eastAsia="Calibri"/>
                <w:b/>
                <w:i/>
                <w:sz w:val="24"/>
                <w:lang w:val="nl-NL"/>
              </w:rPr>
              <w:t>Nơi nhận:</w:t>
            </w:r>
            <w:r w:rsidRPr="0062737A">
              <w:rPr>
                <w:rFonts w:eastAsia="Calibri"/>
                <w:b/>
                <w:i/>
                <w:lang w:val="nl-NL"/>
              </w:rPr>
              <w:t xml:space="preserve">                                                                  </w:t>
            </w:r>
            <w:r w:rsidRPr="0062737A">
              <w:rPr>
                <w:rFonts w:eastAsia="Calibri"/>
                <w:b/>
                <w:sz w:val="24"/>
                <w:lang w:val="nl-NL"/>
              </w:rPr>
              <w:t xml:space="preserve">         </w:t>
            </w:r>
            <w:r w:rsidRPr="0062737A">
              <w:rPr>
                <w:rFonts w:eastAsia="Calibri"/>
                <w:b/>
                <w:i/>
                <w:lang w:val="nl-NL"/>
              </w:rPr>
              <w:t xml:space="preserve"> </w:t>
            </w:r>
          </w:p>
          <w:p w:rsidR="006D7A2C" w:rsidRDefault="006D7A2C" w:rsidP="00593B74">
            <w:pPr>
              <w:jc w:val="both"/>
              <w:rPr>
                <w:rFonts w:eastAsia="Calibri"/>
                <w:sz w:val="22"/>
                <w:szCs w:val="22"/>
                <w:lang w:val="nl-NL"/>
              </w:rPr>
            </w:pPr>
            <w:r w:rsidRPr="0062737A">
              <w:rPr>
                <w:rFonts w:eastAsia="Calibri"/>
                <w:sz w:val="22"/>
                <w:szCs w:val="22"/>
                <w:lang w:val="nl-NL"/>
              </w:rPr>
              <w:t xml:space="preserve">- Như </w:t>
            </w:r>
            <w:r>
              <w:rPr>
                <w:rFonts w:eastAsia="Calibri"/>
                <w:sz w:val="22"/>
                <w:szCs w:val="22"/>
                <w:lang w:val="nl-NL"/>
              </w:rPr>
              <w:t>kính gửi (p/hợp thực hiện);</w:t>
            </w:r>
          </w:p>
          <w:p w:rsidR="006D7A2C" w:rsidRDefault="006D7A2C" w:rsidP="00593B74">
            <w:pPr>
              <w:jc w:val="both"/>
              <w:rPr>
                <w:rFonts w:eastAsia="Calibri"/>
                <w:sz w:val="22"/>
                <w:szCs w:val="22"/>
                <w:lang w:val="nl-NL"/>
              </w:rPr>
            </w:pPr>
            <w:r>
              <w:rPr>
                <w:rFonts w:eastAsia="Calibri"/>
                <w:sz w:val="22"/>
                <w:szCs w:val="22"/>
                <w:lang w:val="nl-NL"/>
              </w:rPr>
              <w:t>- Trưởng phòng GD&amp;ĐT (b/c);</w:t>
            </w:r>
          </w:p>
          <w:p w:rsidR="006D7A2C" w:rsidRDefault="006D7A2C" w:rsidP="00593B74">
            <w:pPr>
              <w:jc w:val="both"/>
              <w:rPr>
                <w:rFonts w:eastAsia="Calibri"/>
                <w:sz w:val="22"/>
                <w:szCs w:val="22"/>
                <w:lang w:val="nl-NL"/>
              </w:rPr>
            </w:pPr>
            <w:r>
              <w:rPr>
                <w:rFonts w:eastAsia="Calibri"/>
                <w:sz w:val="22"/>
                <w:szCs w:val="22"/>
                <w:lang w:val="nl-NL"/>
              </w:rPr>
              <w:t>- Các trường MN, TH, THCS (thực hiện);</w:t>
            </w:r>
          </w:p>
          <w:p w:rsidR="006D7A2C" w:rsidRDefault="006D7A2C" w:rsidP="00593B74">
            <w:pPr>
              <w:jc w:val="both"/>
              <w:rPr>
                <w:rFonts w:eastAsia="Calibri"/>
                <w:sz w:val="22"/>
                <w:szCs w:val="22"/>
                <w:lang w:val="nl-NL"/>
              </w:rPr>
            </w:pPr>
            <w:r>
              <w:rPr>
                <w:rFonts w:eastAsia="Calibri"/>
                <w:sz w:val="22"/>
                <w:szCs w:val="22"/>
                <w:lang w:val="nl-NL"/>
              </w:rPr>
              <w:t>- Bộ phận TCCB, Tài vụ, CNTT phòng GD&amp;ĐT (t/h);</w:t>
            </w:r>
          </w:p>
          <w:p w:rsidR="006D7A2C" w:rsidRPr="005F15FB" w:rsidRDefault="006D7A2C" w:rsidP="00593B74">
            <w:pPr>
              <w:jc w:val="both"/>
              <w:rPr>
                <w:rFonts w:eastAsia="Calibri"/>
                <w:lang w:val="nl-NL"/>
              </w:rPr>
            </w:pPr>
            <w:r w:rsidRPr="0062737A">
              <w:rPr>
                <w:rFonts w:eastAsia="Calibri"/>
                <w:sz w:val="22"/>
                <w:szCs w:val="22"/>
                <w:lang w:val="nl-NL"/>
              </w:rPr>
              <w:t xml:space="preserve">- Lưu </w:t>
            </w:r>
            <w:r>
              <w:rPr>
                <w:rFonts w:eastAsia="Calibri"/>
                <w:sz w:val="22"/>
                <w:szCs w:val="22"/>
                <w:lang w:val="nl-NL"/>
              </w:rPr>
              <w:t>VT, CNTT.</w:t>
            </w:r>
            <w:r w:rsidRPr="0062737A">
              <w:rPr>
                <w:rFonts w:eastAsia="Calibri"/>
                <w:sz w:val="22"/>
                <w:szCs w:val="22"/>
                <w:lang w:val="nl-NL"/>
              </w:rPr>
              <w:t xml:space="preserve">                                                                                     </w:t>
            </w:r>
          </w:p>
          <w:p w:rsidR="006D7A2C" w:rsidRPr="0062737A" w:rsidRDefault="006D7A2C" w:rsidP="00593B74">
            <w:pPr>
              <w:spacing w:line="312" w:lineRule="auto"/>
              <w:jc w:val="both"/>
              <w:rPr>
                <w:rFonts w:ascii="Calibri" w:eastAsia="Calibri" w:hAnsi="Calibri"/>
                <w:lang w:val="nl-NL"/>
              </w:rPr>
            </w:pPr>
          </w:p>
        </w:tc>
        <w:tc>
          <w:tcPr>
            <w:tcW w:w="4144" w:type="dxa"/>
          </w:tcPr>
          <w:p w:rsidR="006D7A2C" w:rsidRPr="004C4F5C" w:rsidRDefault="006D7A2C" w:rsidP="00593B74">
            <w:pPr>
              <w:spacing w:line="312" w:lineRule="auto"/>
              <w:jc w:val="center"/>
              <w:rPr>
                <w:rFonts w:eastAsia="Calibri"/>
                <w:b/>
                <w:sz w:val="8"/>
                <w:szCs w:val="26"/>
                <w:lang w:val="nl-NL"/>
              </w:rPr>
            </w:pPr>
          </w:p>
          <w:p w:rsidR="006D7A2C" w:rsidRPr="00B427DF" w:rsidRDefault="006D7A2C" w:rsidP="00593B74">
            <w:pPr>
              <w:spacing w:line="312" w:lineRule="auto"/>
              <w:jc w:val="center"/>
              <w:rPr>
                <w:rFonts w:eastAsia="Calibri"/>
                <w:b/>
                <w:szCs w:val="26"/>
                <w:lang w:val="nl-NL"/>
              </w:rPr>
            </w:pPr>
            <w:r w:rsidRPr="003E6140">
              <w:rPr>
                <w:rFonts w:eastAsia="Calibri"/>
                <w:b/>
                <w:szCs w:val="26"/>
                <w:lang w:val="nl-NL"/>
              </w:rPr>
              <w:t>TRƯỞNG PHÒNG</w:t>
            </w:r>
            <w:r>
              <w:rPr>
                <w:rFonts w:eastAsia="Calibri"/>
                <w:szCs w:val="68"/>
                <w:lang w:val="nl-NL"/>
              </w:rPr>
              <w:t xml:space="preserve"> </w:t>
            </w:r>
          </w:p>
          <w:p w:rsidR="006D7A2C" w:rsidRDefault="006D7A2C" w:rsidP="00593B74">
            <w:pPr>
              <w:spacing w:line="312" w:lineRule="auto"/>
              <w:rPr>
                <w:rFonts w:eastAsia="Calibri"/>
                <w:szCs w:val="68"/>
                <w:lang w:val="nl-NL"/>
              </w:rPr>
            </w:pPr>
          </w:p>
          <w:p w:rsidR="00F25DEF" w:rsidRPr="00F25DEF" w:rsidRDefault="001A3FFD" w:rsidP="001A3FFD">
            <w:pPr>
              <w:spacing w:line="312" w:lineRule="auto"/>
              <w:jc w:val="center"/>
              <w:rPr>
                <w:rFonts w:eastAsia="Calibri"/>
                <w:lang w:val="nl-NL"/>
              </w:rPr>
            </w:pPr>
            <w:r>
              <w:rPr>
                <w:rFonts w:eastAsia="Calibri"/>
                <w:lang w:val="nl-NL"/>
              </w:rPr>
              <w:t>(Đã kí)</w:t>
            </w:r>
            <w:bookmarkStart w:id="0" w:name="_GoBack"/>
            <w:bookmarkEnd w:id="0"/>
          </w:p>
          <w:p w:rsidR="006D7A2C" w:rsidRPr="006A137E" w:rsidRDefault="006D7A2C" w:rsidP="00593B74">
            <w:pPr>
              <w:spacing w:line="312" w:lineRule="auto"/>
              <w:rPr>
                <w:rFonts w:eastAsia="Calibri"/>
                <w:b/>
                <w:sz w:val="10"/>
                <w:szCs w:val="26"/>
                <w:lang w:val="nl-NL"/>
              </w:rPr>
            </w:pPr>
          </w:p>
          <w:p w:rsidR="006D7A2C" w:rsidRPr="0062737A" w:rsidRDefault="006D7A2C" w:rsidP="00593B74">
            <w:pPr>
              <w:spacing w:line="312" w:lineRule="auto"/>
              <w:jc w:val="center"/>
              <w:rPr>
                <w:rFonts w:eastAsia="Calibri"/>
                <w:lang w:val="nl-NL"/>
              </w:rPr>
            </w:pPr>
            <w:r>
              <w:rPr>
                <w:rFonts w:eastAsia="Calibri"/>
                <w:b/>
                <w:szCs w:val="26"/>
                <w:lang w:val="nl-NL"/>
              </w:rPr>
              <w:t>Đoàn Đình Khang</w:t>
            </w:r>
          </w:p>
        </w:tc>
      </w:tr>
    </w:tbl>
    <w:p w:rsidR="00AA7AF6" w:rsidRPr="006D7A2C" w:rsidRDefault="00AA7AF6">
      <w:pPr>
        <w:rPr>
          <w:sz w:val="26"/>
        </w:rPr>
      </w:pPr>
    </w:p>
    <w:sectPr w:rsidR="00AA7AF6" w:rsidRPr="006D7A2C" w:rsidSect="00976483">
      <w:pgSz w:w="11907" w:h="16839"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A2C"/>
    <w:rsid w:val="001A3FFD"/>
    <w:rsid w:val="006C5266"/>
    <w:rsid w:val="006D7A2C"/>
    <w:rsid w:val="00976483"/>
    <w:rsid w:val="00AA7AF6"/>
    <w:rsid w:val="00CB6BEF"/>
    <w:rsid w:val="00E532EF"/>
    <w:rsid w:val="00F25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8B9A6C-83DD-4080-B53F-66B4E3818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A2C"/>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4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48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 64Bit VS7</dc:creator>
  <cp:keywords/>
  <dc:description/>
  <cp:lastModifiedBy>Win 8 64Bit VS7</cp:lastModifiedBy>
  <cp:revision>6</cp:revision>
  <cp:lastPrinted>2015-12-25T00:58:00Z</cp:lastPrinted>
  <dcterms:created xsi:type="dcterms:W3CDTF">2015-12-24T15:24:00Z</dcterms:created>
  <dcterms:modified xsi:type="dcterms:W3CDTF">2015-12-25T08:19:00Z</dcterms:modified>
</cp:coreProperties>
</file>